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66" w:rsidRDefault="00847866" w:rsidP="00847866">
      <w:p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autoSpaceDE w:val="0"/>
        <w:autoSpaceDN w:val="0"/>
        <w:adjustRightInd w:val="0"/>
        <w:ind w:left="0"/>
        <w:jc w:val="center"/>
        <w:rPr>
          <w:rFonts w:ascii="Arial-BoldMT" w:hAnsi="Arial-BoldMT" w:cs="Arial-BoldMT"/>
          <w:b/>
          <w:bCs/>
          <w:sz w:val="32"/>
          <w:szCs w:val="32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sz w:val="32"/>
          <w:szCs w:val="32"/>
        </w:rPr>
        <w:t>Forskrift om endringer i forskrift om håndtering av</w:t>
      </w:r>
      <w:r w:rsidR="00FB5568">
        <w:rPr>
          <w:rFonts w:ascii="Arial-BoldMT" w:hAnsi="Arial-BoldMT" w:cs="Arial-BoldMT"/>
          <w:b/>
          <w:bCs/>
          <w:sz w:val="32"/>
          <w:szCs w:val="32"/>
        </w:rPr>
        <w:t xml:space="preserve"> </w:t>
      </w:r>
      <w:r>
        <w:rPr>
          <w:rFonts w:ascii="Arial-BoldMT" w:hAnsi="Arial-BoldMT" w:cs="Arial-BoldMT"/>
          <w:b/>
          <w:bCs/>
          <w:sz w:val="32"/>
          <w:szCs w:val="32"/>
        </w:rPr>
        <w:t>utgangsstoffer for eksplosiver</w:t>
      </w:r>
    </w:p>
    <w:p w:rsidR="00847866" w:rsidRDefault="00847866" w:rsidP="00847866">
      <w:p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autoSpaceDE w:val="0"/>
        <w:autoSpaceDN w:val="0"/>
        <w:adjustRightInd w:val="0"/>
        <w:ind w:left="0"/>
        <w:rPr>
          <w:rFonts w:ascii="Calibri" w:hAnsi="Calibri" w:cs="Calibri"/>
          <w:szCs w:val="22"/>
        </w:rPr>
      </w:pPr>
    </w:p>
    <w:p w:rsidR="00847866" w:rsidRDefault="009D7E8E" w:rsidP="00847866">
      <w:p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autoSpaceDE w:val="0"/>
        <w:autoSpaceDN w:val="0"/>
        <w:adjustRightInd w:val="0"/>
        <w:ind w:left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Hjemmel: </w:t>
      </w:r>
      <w:r w:rsidR="00847866" w:rsidRPr="00847866">
        <w:rPr>
          <w:rFonts w:ascii="Calibri" w:hAnsi="Calibri" w:cs="Calibri"/>
          <w:sz w:val="24"/>
        </w:rPr>
        <w:t xml:space="preserve">Fastsatt av Direktoratet for samfunnssikkerhet og beredskap [dato] med hjemmel i lov 14. juni 2002 nr. 20 om vern mot brann, eksplosjon og ulykker med farlig stoff og om brannvesenets redningsoppgaver (brann- og eksplosjonsvernloven) </w:t>
      </w:r>
      <w:r w:rsidR="00A56ED2">
        <w:rPr>
          <w:rFonts w:ascii="Calibri" w:hAnsi="Calibri" w:cs="Calibri"/>
          <w:sz w:val="24"/>
        </w:rPr>
        <w:t xml:space="preserve">§ 20a, </w:t>
      </w:r>
      <w:r w:rsidR="00847866" w:rsidRPr="00847866">
        <w:rPr>
          <w:rFonts w:ascii="Calibri" w:hAnsi="Calibri" w:cs="Calibri"/>
          <w:sz w:val="24"/>
        </w:rPr>
        <w:t xml:space="preserve">jf. </w:t>
      </w:r>
      <w:r w:rsidR="00B70A95">
        <w:rPr>
          <w:rFonts w:ascii="Calibri" w:hAnsi="Calibri" w:cs="Calibri"/>
          <w:sz w:val="24"/>
        </w:rPr>
        <w:t xml:space="preserve">Justis- og beredskapsdepartementets </w:t>
      </w:r>
      <w:r w:rsidR="00847866" w:rsidRPr="00847866">
        <w:rPr>
          <w:rFonts w:ascii="Calibri" w:hAnsi="Calibri" w:cs="Calibri"/>
          <w:sz w:val="24"/>
        </w:rPr>
        <w:t xml:space="preserve">delegeringsvedtak 1. september 2003 nr. 1161 og </w:t>
      </w:r>
      <w:r w:rsidR="00B70A95">
        <w:rPr>
          <w:rFonts w:ascii="Calibri" w:hAnsi="Calibri" w:cs="Calibri"/>
          <w:sz w:val="24"/>
        </w:rPr>
        <w:t xml:space="preserve">Justis- og beredskapsdepartementets </w:t>
      </w:r>
      <w:r w:rsidR="00847866" w:rsidRPr="00847866">
        <w:rPr>
          <w:rFonts w:ascii="Calibri" w:hAnsi="Calibri" w:cs="Calibri"/>
          <w:sz w:val="24"/>
        </w:rPr>
        <w:t>deleger</w:t>
      </w:r>
      <w:r w:rsidR="00847866">
        <w:rPr>
          <w:rFonts w:ascii="Calibri" w:hAnsi="Calibri" w:cs="Calibri"/>
          <w:sz w:val="24"/>
        </w:rPr>
        <w:t xml:space="preserve">ingsvedtak </w:t>
      </w:r>
      <w:r w:rsidR="00A56ED2">
        <w:rPr>
          <w:rFonts w:ascii="Calibri" w:hAnsi="Calibri" w:cs="Calibri"/>
          <w:sz w:val="24"/>
        </w:rPr>
        <w:t>1. juni 2015 nr. 580</w:t>
      </w:r>
    </w:p>
    <w:p w:rsidR="00847866" w:rsidRDefault="00847866" w:rsidP="00847866">
      <w:p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autoSpaceDE w:val="0"/>
        <w:autoSpaceDN w:val="0"/>
        <w:adjustRightInd w:val="0"/>
        <w:ind w:left="0"/>
        <w:rPr>
          <w:rFonts w:ascii="Calibri" w:hAnsi="Calibri" w:cs="Calibri"/>
          <w:sz w:val="24"/>
        </w:rPr>
      </w:pPr>
    </w:p>
    <w:p w:rsidR="009D7E8E" w:rsidRDefault="009D7E8E" w:rsidP="00847866">
      <w:p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autoSpaceDE w:val="0"/>
        <w:autoSpaceDN w:val="0"/>
        <w:adjustRightInd w:val="0"/>
        <w:ind w:left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EØS-henvisninger: </w:t>
      </w:r>
      <w:r w:rsidR="008C3552" w:rsidRPr="008C3552">
        <w:rPr>
          <w:rFonts w:ascii="Calibri" w:hAnsi="Calibri" w:cs="Calibri"/>
          <w:sz w:val="24"/>
        </w:rPr>
        <w:t xml:space="preserve">EØS-avtalen vedlegg II </w:t>
      </w:r>
      <w:proofErr w:type="spellStart"/>
      <w:r w:rsidR="008C3552" w:rsidRPr="008C3552">
        <w:rPr>
          <w:rFonts w:ascii="Calibri" w:hAnsi="Calibri" w:cs="Calibri"/>
          <w:sz w:val="24"/>
        </w:rPr>
        <w:t>kap</w:t>
      </w:r>
      <w:proofErr w:type="spellEnd"/>
      <w:r w:rsidR="008C3552" w:rsidRPr="008C3552">
        <w:rPr>
          <w:rFonts w:ascii="Calibri" w:hAnsi="Calibri" w:cs="Calibri"/>
          <w:sz w:val="24"/>
        </w:rPr>
        <w:t>. XV og XXIX (forordning (EU) nr. 98/2013</w:t>
      </w:r>
      <w:r w:rsidR="00C429F7">
        <w:rPr>
          <w:rFonts w:ascii="Calibri" w:hAnsi="Calibri" w:cs="Calibri"/>
          <w:sz w:val="24"/>
        </w:rPr>
        <w:t xml:space="preserve"> </w:t>
      </w:r>
      <w:r w:rsidR="00C429F7" w:rsidRPr="00C429F7">
        <w:rPr>
          <w:rFonts w:ascii="Calibri" w:hAnsi="Calibri" w:cs="Calibri"/>
          <w:i/>
          <w:sz w:val="24"/>
        </w:rPr>
        <w:t>som endret ved forordning (EU) 2017/214, forordning (EU) 2017/215 og forordning (EU) 2017/216</w:t>
      </w:r>
      <w:r w:rsidR="008C3552" w:rsidRPr="008C3552">
        <w:rPr>
          <w:rFonts w:ascii="Calibri" w:hAnsi="Calibri" w:cs="Calibri"/>
          <w:sz w:val="24"/>
        </w:rPr>
        <w:t>).</w:t>
      </w:r>
    </w:p>
    <w:p w:rsidR="009D7E8E" w:rsidRPr="00847866" w:rsidRDefault="009D7E8E" w:rsidP="00847866">
      <w:p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autoSpaceDE w:val="0"/>
        <w:autoSpaceDN w:val="0"/>
        <w:adjustRightInd w:val="0"/>
        <w:ind w:left="0"/>
        <w:rPr>
          <w:rFonts w:ascii="Calibri" w:hAnsi="Calibri" w:cs="Calibri"/>
          <w:sz w:val="24"/>
        </w:rPr>
      </w:pPr>
    </w:p>
    <w:p w:rsidR="00847866" w:rsidRDefault="00847866" w:rsidP="00847866">
      <w:p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autoSpaceDE w:val="0"/>
        <w:autoSpaceDN w:val="0"/>
        <w:adjustRightInd w:val="0"/>
        <w:ind w:left="0"/>
        <w:jc w:val="center"/>
        <w:rPr>
          <w:rFonts w:ascii="Calibri-Bold" w:hAnsi="Calibri-Bold" w:cs="Calibri-Bold"/>
          <w:b/>
          <w:bCs/>
          <w:sz w:val="24"/>
        </w:rPr>
      </w:pPr>
      <w:r w:rsidRPr="00847866">
        <w:rPr>
          <w:rFonts w:ascii="Calibri-Bold" w:hAnsi="Calibri-Bold" w:cs="Calibri-Bold"/>
          <w:b/>
          <w:bCs/>
          <w:sz w:val="24"/>
        </w:rPr>
        <w:t>I</w:t>
      </w:r>
    </w:p>
    <w:p w:rsidR="00847866" w:rsidRPr="00847866" w:rsidRDefault="00847866" w:rsidP="00847866">
      <w:p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autoSpaceDE w:val="0"/>
        <w:autoSpaceDN w:val="0"/>
        <w:adjustRightInd w:val="0"/>
        <w:ind w:left="0"/>
        <w:jc w:val="center"/>
        <w:rPr>
          <w:rFonts w:ascii="Calibri-Bold" w:hAnsi="Calibri-Bold" w:cs="Calibri-Bold"/>
          <w:b/>
          <w:bCs/>
          <w:sz w:val="24"/>
        </w:rPr>
      </w:pPr>
    </w:p>
    <w:p w:rsidR="009D7E8E" w:rsidRDefault="00847866" w:rsidP="00847866">
      <w:p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autoSpaceDE w:val="0"/>
        <w:autoSpaceDN w:val="0"/>
        <w:adjustRightInd w:val="0"/>
        <w:ind w:left="0"/>
        <w:rPr>
          <w:rFonts w:ascii="Calibri" w:hAnsi="Calibri" w:cs="Calibri"/>
          <w:sz w:val="24"/>
        </w:rPr>
      </w:pPr>
      <w:r w:rsidRPr="00847866">
        <w:rPr>
          <w:rFonts w:ascii="Calibri" w:hAnsi="Calibri" w:cs="Calibri"/>
          <w:sz w:val="24"/>
        </w:rPr>
        <w:t xml:space="preserve">I forskrift 2. juni 2015 nr. 588 om håndtering av utgangsstoffer for eksplosiver </w:t>
      </w:r>
      <w:r w:rsidR="009D7E8E">
        <w:rPr>
          <w:rFonts w:ascii="Calibri" w:hAnsi="Calibri" w:cs="Calibri"/>
          <w:sz w:val="24"/>
        </w:rPr>
        <w:t>gjøres følgende endringer:</w:t>
      </w:r>
    </w:p>
    <w:p w:rsidR="009D7E8E" w:rsidRDefault="009D7E8E" w:rsidP="00847866">
      <w:p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autoSpaceDE w:val="0"/>
        <w:autoSpaceDN w:val="0"/>
        <w:adjustRightInd w:val="0"/>
        <w:ind w:left="0"/>
        <w:rPr>
          <w:rFonts w:ascii="Calibri" w:hAnsi="Calibri" w:cs="Calibri"/>
          <w:sz w:val="24"/>
        </w:rPr>
      </w:pPr>
    </w:p>
    <w:p w:rsidR="00847866" w:rsidRPr="00847866" w:rsidRDefault="00847866" w:rsidP="00847866">
      <w:p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autoSpaceDE w:val="0"/>
        <w:autoSpaceDN w:val="0"/>
        <w:adjustRightInd w:val="0"/>
        <w:ind w:left="0"/>
        <w:rPr>
          <w:rFonts w:ascii="Calibri" w:hAnsi="Calibri" w:cs="Calibri"/>
          <w:sz w:val="24"/>
        </w:rPr>
      </w:pPr>
      <w:r w:rsidRPr="00847866">
        <w:rPr>
          <w:rFonts w:ascii="Calibri" w:hAnsi="Calibri" w:cs="Calibri"/>
          <w:sz w:val="24"/>
        </w:rPr>
        <w:t xml:space="preserve">§ </w:t>
      </w:r>
      <w:r>
        <w:rPr>
          <w:rFonts w:ascii="Calibri" w:hAnsi="Calibri" w:cs="Calibri"/>
          <w:sz w:val="24"/>
        </w:rPr>
        <w:t>2</w:t>
      </w:r>
      <w:r w:rsidR="009C3416">
        <w:rPr>
          <w:rFonts w:ascii="Calibri" w:hAnsi="Calibri" w:cs="Calibri"/>
          <w:sz w:val="24"/>
        </w:rPr>
        <w:t xml:space="preserve"> første ledd </w:t>
      </w:r>
      <w:r w:rsidR="009D7E8E">
        <w:rPr>
          <w:rFonts w:ascii="Calibri" w:hAnsi="Calibri" w:cs="Calibri"/>
          <w:sz w:val="24"/>
        </w:rPr>
        <w:t xml:space="preserve">skal </w:t>
      </w:r>
      <w:r w:rsidR="009C3416">
        <w:rPr>
          <w:rFonts w:ascii="Calibri" w:hAnsi="Calibri" w:cs="Calibri"/>
          <w:sz w:val="24"/>
        </w:rPr>
        <w:t>lyde</w:t>
      </w:r>
      <w:r w:rsidRPr="00847866">
        <w:rPr>
          <w:rFonts w:ascii="Calibri" w:hAnsi="Calibri" w:cs="Calibri"/>
          <w:sz w:val="24"/>
        </w:rPr>
        <w:t>:</w:t>
      </w:r>
    </w:p>
    <w:p w:rsidR="009C3416" w:rsidRDefault="009C3416" w:rsidP="00847866">
      <w:p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autoSpaceDE w:val="0"/>
        <w:autoSpaceDN w:val="0"/>
        <w:adjustRightInd w:val="0"/>
        <w:ind w:left="0"/>
        <w:rPr>
          <w:rFonts w:ascii="Calibri" w:hAnsi="Calibri" w:cs="Calibri"/>
          <w:sz w:val="24"/>
        </w:rPr>
      </w:pPr>
    </w:p>
    <w:p w:rsidR="009C3416" w:rsidRPr="009C3416" w:rsidRDefault="009C3416" w:rsidP="009C3416">
      <w:p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autoSpaceDE w:val="0"/>
        <w:autoSpaceDN w:val="0"/>
        <w:adjustRightInd w:val="0"/>
        <w:ind w:left="0"/>
        <w:rPr>
          <w:rFonts w:ascii="Calibri" w:hAnsi="Calibri" w:cs="Calibri"/>
          <w:sz w:val="24"/>
        </w:rPr>
      </w:pPr>
      <w:r w:rsidRPr="009C3416">
        <w:rPr>
          <w:rFonts w:ascii="Calibri" w:hAnsi="Calibri" w:cs="Calibri"/>
          <w:sz w:val="24"/>
        </w:rPr>
        <w:t>Forskriften gjelder all håndtering av følgende utgangsstoffer for eksplosiver, inkludert stoffblandinger som inneholder slike: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7448"/>
      </w:tblGrid>
      <w:tr w:rsidR="009C3416" w:rsidRPr="009C3416" w:rsidTr="009C341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C3416" w:rsidRPr="009C3416" w:rsidRDefault="009C3416" w:rsidP="009C3416">
            <w:pPr>
              <w:tabs>
                <w:tab w:val="clear" w:pos="74"/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</w:rPr>
            </w:pPr>
            <w:r w:rsidRPr="009C3416">
              <w:rPr>
                <w:rFonts w:ascii="Calibri" w:hAnsi="Calibri" w:cs="Calibri"/>
                <w:sz w:val="24"/>
              </w:rPr>
              <w:t>Hydrogenperoksid, over 12 vektprosent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3416" w:rsidRPr="009C3416" w:rsidRDefault="009C3416" w:rsidP="009C3416">
            <w:pPr>
              <w:tabs>
                <w:tab w:val="clear" w:pos="74"/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</w:rPr>
            </w:pPr>
            <w:r w:rsidRPr="009C3416">
              <w:rPr>
                <w:rFonts w:ascii="Calibri" w:hAnsi="Calibri" w:cs="Calibri"/>
                <w:sz w:val="24"/>
              </w:rPr>
              <w:t>Heksamin</w:t>
            </w:r>
          </w:p>
        </w:tc>
      </w:tr>
      <w:tr w:rsidR="009C3416" w:rsidRPr="009C3416" w:rsidTr="009C341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C3416" w:rsidRPr="009C3416" w:rsidRDefault="009C3416" w:rsidP="009C3416">
            <w:pPr>
              <w:tabs>
                <w:tab w:val="clear" w:pos="74"/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</w:rPr>
            </w:pPr>
            <w:proofErr w:type="spellStart"/>
            <w:r w:rsidRPr="009C3416">
              <w:rPr>
                <w:rFonts w:ascii="Calibri" w:hAnsi="Calibri" w:cs="Calibri"/>
                <w:sz w:val="24"/>
              </w:rPr>
              <w:t>Nitrometan</w:t>
            </w:r>
            <w:proofErr w:type="spellEnd"/>
            <w:r w:rsidRPr="009C3416">
              <w:rPr>
                <w:rFonts w:ascii="Calibri" w:hAnsi="Calibri" w:cs="Calibri"/>
                <w:sz w:val="24"/>
              </w:rPr>
              <w:t>, over 30 vektprosent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3416" w:rsidRPr="009C3416" w:rsidRDefault="009C3416" w:rsidP="009C3416">
            <w:pPr>
              <w:tabs>
                <w:tab w:val="clear" w:pos="74"/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</w:rPr>
            </w:pPr>
            <w:r w:rsidRPr="009C3416">
              <w:rPr>
                <w:rFonts w:ascii="Calibri" w:hAnsi="Calibri" w:cs="Calibri"/>
                <w:sz w:val="24"/>
              </w:rPr>
              <w:t>Svovelsyre</w:t>
            </w:r>
          </w:p>
        </w:tc>
      </w:tr>
      <w:tr w:rsidR="009C3416" w:rsidRPr="009C3416" w:rsidTr="009C341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C3416" w:rsidRPr="009C3416" w:rsidRDefault="009C3416" w:rsidP="009C3416">
            <w:pPr>
              <w:tabs>
                <w:tab w:val="clear" w:pos="74"/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</w:rPr>
            </w:pPr>
            <w:r w:rsidRPr="009C3416">
              <w:rPr>
                <w:rFonts w:ascii="Calibri" w:hAnsi="Calibri" w:cs="Calibri"/>
                <w:sz w:val="24"/>
              </w:rPr>
              <w:t>Salpetersyre, over 3 vektprosent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3416" w:rsidRPr="009C3416" w:rsidRDefault="009C3416" w:rsidP="009C3416">
            <w:pPr>
              <w:tabs>
                <w:tab w:val="clear" w:pos="74"/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</w:rPr>
            </w:pPr>
            <w:r w:rsidRPr="009C3416">
              <w:rPr>
                <w:rFonts w:ascii="Calibri" w:hAnsi="Calibri" w:cs="Calibri"/>
                <w:sz w:val="24"/>
              </w:rPr>
              <w:t>Aceton</w:t>
            </w:r>
          </w:p>
        </w:tc>
      </w:tr>
      <w:tr w:rsidR="009C3416" w:rsidRPr="009C3416" w:rsidTr="009C341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C3416" w:rsidRPr="009C3416" w:rsidRDefault="009C3416" w:rsidP="009C3416">
            <w:pPr>
              <w:tabs>
                <w:tab w:val="clear" w:pos="74"/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</w:rPr>
            </w:pPr>
            <w:r w:rsidRPr="009C3416">
              <w:rPr>
                <w:rFonts w:ascii="Calibri" w:hAnsi="Calibri" w:cs="Calibri"/>
                <w:sz w:val="24"/>
              </w:rPr>
              <w:t>Kaliumklorat, over 40 vektprosent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3416" w:rsidRPr="009C3416" w:rsidRDefault="009C3416" w:rsidP="009C3416">
            <w:pPr>
              <w:tabs>
                <w:tab w:val="clear" w:pos="74"/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</w:rPr>
            </w:pPr>
            <w:r w:rsidRPr="009C3416">
              <w:rPr>
                <w:rFonts w:ascii="Calibri" w:hAnsi="Calibri" w:cs="Calibri"/>
                <w:sz w:val="24"/>
              </w:rPr>
              <w:t>Kaliumnitrat</w:t>
            </w:r>
          </w:p>
        </w:tc>
      </w:tr>
      <w:tr w:rsidR="009C3416" w:rsidRPr="009C3416" w:rsidTr="009C341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C3416" w:rsidRPr="009C3416" w:rsidRDefault="009C3416" w:rsidP="009C3416">
            <w:pPr>
              <w:tabs>
                <w:tab w:val="clear" w:pos="74"/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</w:rPr>
            </w:pPr>
            <w:r w:rsidRPr="009C3416">
              <w:rPr>
                <w:rFonts w:ascii="Calibri" w:hAnsi="Calibri" w:cs="Calibri"/>
                <w:sz w:val="24"/>
              </w:rPr>
              <w:t>Kaliumperklorat, over 40 vektprosent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3416" w:rsidRPr="009C3416" w:rsidRDefault="009C3416" w:rsidP="009C3416">
            <w:pPr>
              <w:tabs>
                <w:tab w:val="clear" w:pos="74"/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</w:rPr>
            </w:pPr>
            <w:r w:rsidRPr="009C3416">
              <w:rPr>
                <w:rFonts w:ascii="Calibri" w:hAnsi="Calibri" w:cs="Calibri"/>
                <w:sz w:val="24"/>
              </w:rPr>
              <w:t>Natriumnitrat</w:t>
            </w:r>
          </w:p>
        </w:tc>
      </w:tr>
      <w:tr w:rsidR="009C3416" w:rsidRPr="009C3416" w:rsidTr="009C341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C3416" w:rsidRPr="009C3416" w:rsidRDefault="009C3416" w:rsidP="009C3416">
            <w:pPr>
              <w:tabs>
                <w:tab w:val="clear" w:pos="74"/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</w:rPr>
            </w:pPr>
            <w:r w:rsidRPr="009C3416">
              <w:rPr>
                <w:rFonts w:ascii="Calibri" w:hAnsi="Calibri" w:cs="Calibri"/>
                <w:sz w:val="24"/>
              </w:rPr>
              <w:t>Natriumklorat, over 40 vektprosent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3416" w:rsidRPr="009C3416" w:rsidRDefault="009C3416" w:rsidP="009C3416">
            <w:pPr>
              <w:tabs>
                <w:tab w:val="clear" w:pos="74"/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</w:rPr>
            </w:pPr>
            <w:r w:rsidRPr="009C3416">
              <w:rPr>
                <w:rFonts w:ascii="Calibri" w:hAnsi="Calibri" w:cs="Calibri"/>
                <w:sz w:val="24"/>
              </w:rPr>
              <w:t>Kalsiumnitrat</w:t>
            </w:r>
          </w:p>
        </w:tc>
      </w:tr>
      <w:tr w:rsidR="009C3416" w:rsidRPr="009C3416" w:rsidTr="009C341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C3416" w:rsidRPr="009C3416" w:rsidRDefault="009C3416" w:rsidP="009C3416">
            <w:pPr>
              <w:tabs>
                <w:tab w:val="clear" w:pos="74"/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</w:rPr>
            </w:pPr>
            <w:r w:rsidRPr="009C3416">
              <w:rPr>
                <w:rFonts w:ascii="Calibri" w:hAnsi="Calibri" w:cs="Calibri"/>
                <w:sz w:val="24"/>
              </w:rPr>
              <w:t>Natriumperklorat, over 40 vektprosent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3416" w:rsidRPr="009C3416" w:rsidRDefault="009C3416" w:rsidP="009C3416">
            <w:pPr>
              <w:tabs>
                <w:tab w:val="clear" w:pos="74"/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</w:rPr>
            </w:pPr>
            <w:r w:rsidRPr="009C3416">
              <w:rPr>
                <w:rFonts w:ascii="Calibri" w:hAnsi="Calibri" w:cs="Calibri"/>
                <w:sz w:val="24"/>
              </w:rPr>
              <w:t>Kalsiumammoniumnitrat</w:t>
            </w:r>
          </w:p>
        </w:tc>
      </w:tr>
      <w:tr w:rsidR="009C3416" w:rsidRPr="009C3416" w:rsidTr="009C341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C3416" w:rsidRPr="009C3416" w:rsidRDefault="009C3416" w:rsidP="009C3416">
            <w:pPr>
              <w:tabs>
                <w:tab w:val="clear" w:pos="74"/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3416" w:rsidRPr="001E2BE5" w:rsidRDefault="009C3416" w:rsidP="009C3416">
            <w:pPr>
              <w:tabs>
                <w:tab w:val="clear" w:pos="74"/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</w:rPr>
            </w:pPr>
            <w:r w:rsidRPr="001E2BE5">
              <w:rPr>
                <w:rFonts w:ascii="Calibri" w:hAnsi="Calibri" w:cs="Calibri"/>
                <w:sz w:val="24"/>
              </w:rPr>
              <w:t>Ammoniumnitrat (16 vektprosent eller mer nitrogen fra ammoniumnitrat)</w:t>
            </w:r>
          </w:p>
        </w:tc>
      </w:tr>
      <w:tr w:rsidR="009C3416" w:rsidRPr="009C3416" w:rsidTr="009C341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C3416" w:rsidRPr="009C3416" w:rsidRDefault="009C3416" w:rsidP="009C3416">
            <w:pPr>
              <w:tabs>
                <w:tab w:val="clear" w:pos="74"/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C3416" w:rsidRPr="001E2BE5" w:rsidRDefault="00FB5568" w:rsidP="001E2BE5">
            <w:pPr>
              <w:tabs>
                <w:tab w:val="clear" w:pos="74"/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/>
                <w:sz w:val="24"/>
              </w:rPr>
            </w:pPr>
            <w:r w:rsidRPr="001E2BE5">
              <w:rPr>
                <w:rFonts w:ascii="Calibri" w:hAnsi="Calibri" w:cs="Calibri"/>
                <w:i/>
                <w:sz w:val="24"/>
              </w:rPr>
              <w:t>Aluminiumpulver</w:t>
            </w:r>
            <w:r w:rsidR="00567F4C" w:rsidRPr="001E2BE5">
              <w:rPr>
                <w:rFonts w:ascii="Calibri" w:hAnsi="Calibri" w:cs="Calibri"/>
                <w:i/>
                <w:sz w:val="24"/>
              </w:rPr>
              <w:t xml:space="preserve"> (med en partikkelstørrelse mindre enn 200 </w:t>
            </w:r>
            <w:proofErr w:type="spellStart"/>
            <w:r w:rsidR="00567F4C" w:rsidRPr="001E2BE5">
              <w:rPr>
                <w:rFonts w:ascii="Calibri" w:hAnsi="Calibri" w:cs="Calibri"/>
                <w:i/>
                <w:sz w:val="24"/>
              </w:rPr>
              <w:t>μm</w:t>
            </w:r>
            <w:proofErr w:type="spellEnd"/>
            <w:r w:rsidR="00567F4C" w:rsidRPr="001E2BE5">
              <w:rPr>
                <w:rFonts w:ascii="Calibri" w:hAnsi="Calibri" w:cs="Calibri"/>
                <w:i/>
                <w:sz w:val="24"/>
              </w:rPr>
              <w:t xml:space="preserve">, </w:t>
            </w:r>
            <w:r w:rsidR="001E2BE5">
              <w:rPr>
                <w:rFonts w:ascii="Calibri" w:hAnsi="Calibri" w:cs="Calibri"/>
                <w:i/>
                <w:sz w:val="24"/>
              </w:rPr>
              <w:t xml:space="preserve">og </w:t>
            </w:r>
            <w:r w:rsidR="00567F4C" w:rsidRPr="001E2BE5">
              <w:rPr>
                <w:rFonts w:ascii="Calibri" w:hAnsi="Calibri" w:cs="Calibri"/>
                <w:i/>
                <w:sz w:val="24"/>
              </w:rPr>
              <w:t>med 70 vektprosent eller mer av aluminium og/eller magnesium)</w:t>
            </w:r>
          </w:p>
        </w:tc>
      </w:tr>
      <w:tr w:rsidR="009C3416" w:rsidRPr="009C3416" w:rsidTr="009C341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C3416" w:rsidRPr="009C3416" w:rsidRDefault="009C3416" w:rsidP="009C3416">
            <w:pPr>
              <w:tabs>
                <w:tab w:val="clear" w:pos="74"/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C3416" w:rsidRPr="001E2BE5" w:rsidRDefault="00FB5568" w:rsidP="001E2BE5">
            <w:pPr>
              <w:tabs>
                <w:tab w:val="clear" w:pos="74"/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/>
                <w:sz w:val="24"/>
              </w:rPr>
            </w:pPr>
            <w:r w:rsidRPr="001E2BE5">
              <w:rPr>
                <w:rFonts w:ascii="Calibri" w:hAnsi="Calibri" w:cs="Calibri"/>
                <w:i/>
                <w:sz w:val="24"/>
              </w:rPr>
              <w:t>Magnesiumpulver</w:t>
            </w:r>
            <w:r w:rsidR="00567F4C" w:rsidRPr="001E2BE5">
              <w:rPr>
                <w:rFonts w:ascii="Calibri" w:hAnsi="Calibri" w:cs="Calibri"/>
                <w:i/>
                <w:sz w:val="24"/>
              </w:rPr>
              <w:t xml:space="preserve"> (med en partikkelstørrelse mindre enn 200 </w:t>
            </w:r>
            <w:proofErr w:type="spellStart"/>
            <w:r w:rsidR="00567F4C" w:rsidRPr="001E2BE5">
              <w:rPr>
                <w:rFonts w:ascii="Calibri" w:hAnsi="Calibri" w:cs="Calibri"/>
                <w:i/>
                <w:sz w:val="24"/>
              </w:rPr>
              <w:t>μm</w:t>
            </w:r>
            <w:proofErr w:type="spellEnd"/>
            <w:r w:rsidR="00567F4C" w:rsidRPr="001E2BE5">
              <w:rPr>
                <w:rFonts w:ascii="Calibri" w:hAnsi="Calibri" w:cs="Calibri"/>
                <w:i/>
                <w:sz w:val="24"/>
              </w:rPr>
              <w:t>,</w:t>
            </w:r>
            <w:r w:rsidR="001E2BE5">
              <w:rPr>
                <w:rFonts w:ascii="Calibri" w:hAnsi="Calibri" w:cs="Calibri"/>
                <w:i/>
                <w:sz w:val="24"/>
              </w:rPr>
              <w:t xml:space="preserve"> og</w:t>
            </w:r>
            <w:r w:rsidR="00567F4C" w:rsidRPr="001E2BE5">
              <w:rPr>
                <w:rFonts w:ascii="Calibri" w:hAnsi="Calibri" w:cs="Calibri"/>
                <w:i/>
                <w:sz w:val="24"/>
              </w:rPr>
              <w:t xml:space="preserve"> med 70 vektprosent eller mer av aluminium og/eller magnesium)</w:t>
            </w:r>
          </w:p>
        </w:tc>
      </w:tr>
      <w:tr w:rsidR="009C3416" w:rsidRPr="009C3416" w:rsidTr="009C341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C3416" w:rsidRPr="009C3416" w:rsidRDefault="009C3416" w:rsidP="009C3416">
            <w:pPr>
              <w:tabs>
                <w:tab w:val="clear" w:pos="74"/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C3416" w:rsidRPr="001E2BE5" w:rsidRDefault="00FB5568" w:rsidP="009C3416">
            <w:pPr>
              <w:tabs>
                <w:tab w:val="clear" w:pos="74"/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/>
                <w:sz w:val="24"/>
              </w:rPr>
            </w:pPr>
            <w:r w:rsidRPr="001E2BE5">
              <w:rPr>
                <w:rFonts w:ascii="Calibri" w:hAnsi="Calibri" w:cs="Calibri"/>
                <w:i/>
                <w:sz w:val="24"/>
              </w:rPr>
              <w:t>Magnesiumnitrat</w:t>
            </w:r>
            <w:r w:rsidR="00165522" w:rsidRPr="001E2BE5">
              <w:rPr>
                <w:rFonts w:ascii="Calibri" w:hAnsi="Calibri" w:cs="Calibri"/>
                <w:i/>
                <w:sz w:val="24"/>
              </w:rPr>
              <w:t xml:space="preserve"> </w:t>
            </w:r>
            <w:r w:rsidRPr="001E2BE5">
              <w:rPr>
                <w:rFonts w:ascii="Calibri" w:hAnsi="Calibri" w:cs="Calibri"/>
                <w:i/>
                <w:sz w:val="24"/>
              </w:rPr>
              <w:t>heksahydrat</w:t>
            </w:r>
          </w:p>
        </w:tc>
      </w:tr>
    </w:tbl>
    <w:p w:rsidR="006E14BD" w:rsidRDefault="006E14BD" w:rsidP="006E14BD">
      <w:p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autoSpaceDE w:val="0"/>
        <w:autoSpaceDN w:val="0"/>
        <w:adjustRightInd w:val="0"/>
        <w:ind w:left="0"/>
        <w:rPr>
          <w:rFonts w:ascii="Calibri" w:hAnsi="Calibri" w:cs="Calibri"/>
          <w:sz w:val="24"/>
          <w:lang w:val="en-US"/>
        </w:rPr>
      </w:pPr>
    </w:p>
    <w:p w:rsidR="00567F4C" w:rsidRPr="00890E63" w:rsidRDefault="00D70483" w:rsidP="00847866">
      <w:p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autoSpaceDE w:val="0"/>
        <w:autoSpaceDN w:val="0"/>
        <w:adjustRightInd w:val="0"/>
        <w:ind w:left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val="en-US"/>
        </w:rPr>
        <w:t xml:space="preserve"> </w:t>
      </w:r>
      <w:r w:rsidR="009D7E8E" w:rsidRPr="00890E63">
        <w:rPr>
          <w:rFonts w:ascii="Calibri" w:hAnsi="Calibri" w:cs="Calibri"/>
          <w:sz w:val="24"/>
        </w:rPr>
        <w:t>§ 3 skal lyde:</w:t>
      </w:r>
    </w:p>
    <w:p w:rsidR="009D7E8E" w:rsidRDefault="009D7E8E" w:rsidP="009D7E8E">
      <w:p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autoSpaceDE w:val="0"/>
        <w:autoSpaceDN w:val="0"/>
        <w:adjustRightInd w:val="0"/>
        <w:ind w:left="0"/>
        <w:rPr>
          <w:rFonts w:ascii="Calibri" w:hAnsi="Calibri" w:cs="Calibri"/>
          <w:sz w:val="24"/>
        </w:rPr>
      </w:pPr>
    </w:p>
    <w:p w:rsidR="009D7E8E" w:rsidRDefault="009D7E8E" w:rsidP="009D7E8E">
      <w:p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autoSpaceDE w:val="0"/>
        <w:autoSpaceDN w:val="0"/>
        <w:adjustRightInd w:val="0"/>
        <w:ind w:left="0"/>
        <w:rPr>
          <w:rFonts w:ascii="Calibri" w:hAnsi="Calibri" w:cs="Calibri"/>
          <w:sz w:val="24"/>
        </w:rPr>
      </w:pPr>
      <w:r w:rsidRPr="009D7E8E">
        <w:rPr>
          <w:rFonts w:ascii="Calibri" w:hAnsi="Calibri" w:cs="Calibri"/>
          <w:sz w:val="24"/>
        </w:rPr>
        <w:t>EØS-avtalen</w:t>
      </w:r>
      <w:r w:rsidR="00890B1F">
        <w:rPr>
          <w:rFonts w:ascii="Calibri" w:hAnsi="Calibri" w:cs="Calibri"/>
          <w:sz w:val="24"/>
        </w:rPr>
        <w:t xml:space="preserve"> </w:t>
      </w:r>
      <w:r w:rsidRPr="009D7E8E">
        <w:rPr>
          <w:rFonts w:ascii="Calibri" w:hAnsi="Calibri" w:cs="Calibri"/>
          <w:sz w:val="24"/>
        </w:rPr>
        <w:t>vedlegg II kapittel XV og XXIX (forordning (EU) nr. 98/2013</w:t>
      </w:r>
      <w:r w:rsidR="000F2D5A">
        <w:rPr>
          <w:rFonts w:ascii="Calibri" w:hAnsi="Calibri" w:cs="Calibri"/>
          <w:sz w:val="24"/>
        </w:rPr>
        <w:t xml:space="preserve"> </w:t>
      </w:r>
      <w:r w:rsidR="000F2D5A">
        <w:rPr>
          <w:rFonts w:ascii="Calibri" w:hAnsi="Calibri" w:cs="Calibri"/>
          <w:i/>
          <w:sz w:val="24"/>
        </w:rPr>
        <w:t xml:space="preserve">som endret ved </w:t>
      </w:r>
      <w:r w:rsidR="00AE6DF5">
        <w:rPr>
          <w:rFonts w:ascii="Calibri" w:hAnsi="Calibri" w:cs="Calibri"/>
          <w:i/>
          <w:sz w:val="24"/>
        </w:rPr>
        <w:t xml:space="preserve">forordning (EU) 2017/214, forordning (EU) 2017/215 og forordning </w:t>
      </w:r>
      <w:r w:rsidR="009A78A8">
        <w:rPr>
          <w:rFonts w:ascii="Calibri" w:hAnsi="Calibri" w:cs="Calibri"/>
          <w:i/>
          <w:sz w:val="24"/>
        </w:rPr>
        <w:t xml:space="preserve">(EU) </w:t>
      </w:r>
      <w:r w:rsidR="00AE6DF5">
        <w:rPr>
          <w:rFonts w:ascii="Calibri" w:hAnsi="Calibri" w:cs="Calibri"/>
          <w:i/>
          <w:sz w:val="24"/>
        </w:rPr>
        <w:t>2017/216</w:t>
      </w:r>
      <w:r w:rsidRPr="009D7E8E">
        <w:rPr>
          <w:rFonts w:ascii="Calibri" w:hAnsi="Calibri" w:cs="Calibri"/>
          <w:sz w:val="24"/>
        </w:rPr>
        <w:t>) om markedsføring og bruk av utgangsstoffer for eksplosiver gjelder som forskrift med de endringer og tillegg som følger av vedlegg II, protokoll 1 til avtalen og avtalen for øvrig.</w:t>
      </w:r>
    </w:p>
    <w:p w:rsidR="00567F4C" w:rsidRPr="00165522" w:rsidRDefault="00567F4C" w:rsidP="00847866">
      <w:p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autoSpaceDE w:val="0"/>
        <w:autoSpaceDN w:val="0"/>
        <w:adjustRightInd w:val="0"/>
        <w:ind w:left="0"/>
        <w:rPr>
          <w:rFonts w:ascii="Calibri" w:hAnsi="Calibri" w:cs="Calibri"/>
          <w:sz w:val="24"/>
        </w:rPr>
      </w:pPr>
    </w:p>
    <w:p w:rsidR="009C3416" w:rsidRPr="00165522" w:rsidRDefault="009C3416" w:rsidP="00847866">
      <w:p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autoSpaceDE w:val="0"/>
        <w:autoSpaceDN w:val="0"/>
        <w:adjustRightInd w:val="0"/>
        <w:ind w:left="0"/>
        <w:rPr>
          <w:rFonts w:ascii="Calibri" w:hAnsi="Calibri" w:cs="Calibri"/>
          <w:sz w:val="24"/>
        </w:rPr>
      </w:pPr>
    </w:p>
    <w:p w:rsidR="00847866" w:rsidRPr="00567F4C" w:rsidRDefault="00847866" w:rsidP="009C3416">
      <w:p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autoSpaceDE w:val="0"/>
        <w:autoSpaceDN w:val="0"/>
        <w:adjustRightInd w:val="0"/>
        <w:ind w:left="0"/>
        <w:jc w:val="center"/>
        <w:rPr>
          <w:rFonts w:ascii="Calibri" w:hAnsi="Calibri" w:cs="Calibri"/>
          <w:sz w:val="24"/>
        </w:rPr>
      </w:pPr>
      <w:r w:rsidRPr="00567F4C">
        <w:rPr>
          <w:rFonts w:ascii="Calibri" w:hAnsi="Calibri" w:cs="Calibri"/>
          <w:sz w:val="24"/>
        </w:rPr>
        <w:t>II</w:t>
      </w:r>
    </w:p>
    <w:p w:rsidR="00073546" w:rsidRPr="00165522" w:rsidRDefault="00847866" w:rsidP="00847866">
      <w:pPr>
        <w:rPr>
          <w:rFonts w:ascii="Calibri" w:hAnsi="Calibri" w:cs="Calibri"/>
          <w:sz w:val="24"/>
        </w:rPr>
      </w:pPr>
      <w:r w:rsidRPr="00165522">
        <w:rPr>
          <w:rFonts w:ascii="Calibri" w:hAnsi="Calibri" w:cs="Calibri"/>
          <w:sz w:val="24"/>
        </w:rPr>
        <w:t>Forskriften trer i kraft [dato].</w:t>
      </w:r>
    </w:p>
    <w:sectPr w:rsidR="00073546" w:rsidRPr="00165522" w:rsidSect="00830742">
      <w:pgSz w:w="11906" w:h="16838"/>
      <w:pgMar w:top="1418" w:right="454" w:bottom="851" w:left="113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59E"/>
    <w:multiLevelType w:val="multilevel"/>
    <w:tmpl w:val="639CB2F0"/>
    <w:lvl w:ilvl="0">
      <w:start w:val="1"/>
      <w:numFmt w:val="bullet"/>
      <w:pStyle w:val="Punktmerket-innrykk"/>
      <w:lvlText w:val="–"/>
      <w:lvlJc w:val="left"/>
      <w:pPr>
        <w:tabs>
          <w:tab w:val="num" w:pos="731"/>
        </w:tabs>
        <w:ind w:left="731" w:hanging="362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094"/>
        </w:tabs>
        <w:ind w:left="1094" w:hanging="363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1457"/>
        </w:tabs>
        <w:ind w:left="1457" w:hanging="363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1820"/>
        </w:tabs>
        <w:ind w:left="1820" w:hanging="363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2183"/>
        </w:tabs>
        <w:ind w:left="2183" w:hanging="363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2546"/>
        </w:tabs>
        <w:ind w:left="2546" w:hanging="363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2909"/>
        </w:tabs>
        <w:ind w:left="2909" w:hanging="363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3272"/>
        </w:tabs>
        <w:ind w:left="3272" w:hanging="363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3634"/>
        </w:tabs>
        <w:ind w:left="3634" w:hanging="362"/>
      </w:pPr>
      <w:rPr>
        <w:rFonts w:ascii="Times New Roman" w:hAnsi="Times New Roman" w:hint="default"/>
      </w:rPr>
    </w:lvl>
  </w:abstractNum>
  <w:abstractNum w:abstractNumId="1" w15:restartNumberingAfterBreak="0">
    <w:nsid w:val="06DF5031"/>
    <w:multiLevelType w:val="multilevel"/>
    <w:tmpl w:val="F1502FD2"/>
    <w:lvl w:ilvl="0">
      <w:start w:val="1"/>
      <w:numFmt w:val="decimal"/>
      <w:pStyle w:val="Nummerert-venstreflat"/>
      <w:lvlText w:val="%1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31" w:hanging="6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4"/>
        </w:tabs>
        <w:ind w:left="731" w:hanging="657"/>
      </w:pPr>
      <w:rPr>
        <w:rFonts w:hint="default"/>
      </w:rPr>
    </w:lvl>
  </w:abstractNum>
  <w:abstractNum w:abstractNumId="2" w15:restartNumberingAfterBreak="0">
    <w:nsid w:val="1D2960BB"/>
    <w:multiLevelType w:val="hybridMultilevel"/>
    <w:tmpl w:val="F6FCA242"/>
    <w:lvl w:ilvl="0" w:tplc="E90ACF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50813"/>
    <w:multiLevelType w:val="multilevel"/>
    <w:tmpl w:val="8EFE3164"/>
    <w:lvl w:ilvl="0">
      <w:start w:val="1"/>
      <w:numFmt w:val="decimal"/>
      <w:pStyle w:val="Overskrift1-Nummerert"/>
      <w:lvlText w:val="%1"/>
      <w:lvlJc w:val="left"/>
      <w:pPr>
        <w:tabs>
          <w:tab w:val="num" w:pos="437"/>
        </w:tabs>
        <w:ind w:left="437" w:hanging="363"/>
      </w:pPr>
      <w:rPr>
        <w:rFonts w:hint="default"/>
      </w:rPr>
    </w:lvl>
    <w:lvl w:ilvl="1">
      <w:start w:val="1"/>
      <w:numFmt w:val="decimal"/>
      <w:pStyle w:val="Overskrift2-Nummerert"/>
      <w:lvlText w:val="%1.%2"/>
      <w:lvlJc w:val="left"/>
      <w:pPr>
        <w:tabs>
          <w:tab w:val="num" w:pos="612"/>
        </w:tabs>
        <w:ind w:left="612" w:hanging="538"/>
      </w:pPr>
      <w:rPr>
        <w:rFonts w:hint="default"/>
      </w:rPr>
    </w:lvl>
    <w:lvl w:ilvl="2">
      <w:start w:val="1"/>
      <w:numFmt w:val="decimal"/>
      <w:pStyle w:val="Overskrift3-Nummerert"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lowerLetter"/>
      <w:pStyle w:val="Overskrift4-Nummerert"/>
      <w:lvlText w:val="%1.%2.%3%4"/>
      <w:lvlJc w:val="left"/>
      <w:pPr>
        <w:tabs>
          <w:tab w:val="num" w:pos="970"/>
        </w:tabs>
        <w:ind w:left="970" w:hanging="8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4"/>
        </w:tabs>
        <w:ind w:left="1100" w:hanging="1026"/>
      </w:pPr>
      <w:rPr>
        <w:rFonts w:hint="default"/>
      </w:rPr>
    </w:lvl>
  </w:abstractNum>
  <w:abstractNum w:abstractNumId="4" w15:restartNumberingAfterBreak="0">
    <w:nsid w:val="4FF47C22"/>
    <w:multiLevelType w:val="multilevel"/>
    <w:tmpl w:val="3118BD34"/>
    <w:lvl w:ilvl="0">
      <w:start w:val="1"/>
      <w:numFmt w:val="decimal"/>
      <w:pStyle w:val="Nummerert-innrykkflat"/>
      <w:lvlText w:val="%1.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9"/>
        </w:tabs>
        <w:ind w:left="1026" w:hanging="657"/>
      </w:pPr>
      <w:rPr>
        <w:rFonts w:hint="default"/>
      </w:rPr>
    </w:lvl>
  </w:abstractNum>
  <w:abstractNum w:abstractNumId="5" w15:restartNumberingAfterBreak="0">
    <w:nsid w:val="70BE08E6"/>
    <w:multiLevelType w:val="hybridMultilevel"/>
    <w:tmpl w:val="84787FBC"/>
    <w:lvl w:ilvl="0" w:tplc="B81CAD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70FF3"/>
    <w:multiLevelType w:val="hybridMultilevel"/>
    <w:tmpl w:val="EBDCE184"/>
    <w:lvl w:ilvl="0" w:tplc="04BE67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43B3D"/>
    <w:multiLevelType w:val="hybridMultilevel"/>
    <w:tmpl w:val="AB926DEE"/>
    <w:lvl w:ilvl="0" w:tplc="022E1C26">
      <w:numFmt w:val="bullet"/>
      <w:lvlText w:val="•"/>
      <w:lvlJc w:val="left"/>
      <w:pPr>
        <w:ind w:left="1438" w:hanging="129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0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5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R_METADATA_KEY" w:val="ee6b6818-2c9c-43d7-8d93-ecc37fe6f505"/>
  </w:docVars>
  <w:rsids>
    <w:rsidRoot w:val="00847866"/>
    <w:rsid w:val="00003A35"/>
    <w:rsid w:val="00006E6F"/>
    <w:rsid w:val="00034D96"/>
    <w:rsid w:val="00053B4C"/>
    <w:rsid w:val="00066050"/>
    <w:rsid w:val="00073546"/>
    <w:rsid w:val="00073565"/>
    <w:rsid w:val="00081988"/>
    <w:rsid w:val="000B5CBA"/>
    <w:rsid w:val="000C5342"/>
    <w:rsid w:val="000D26C0"/>
    <w:rsid w:val="000D40DB"/>
    <w:rsid w:val="000D642C"/>
    <w:rsid w:val="000F2D5A"/>
    <w:rsid w:val="000F47D3"/>
    <w:rsid w:val="00120807"/>
    <w:rsid w:val="00150BF0"/>
    <w:rsid w:val="001612B4"/>
    <w:rsid w:val="00165522"/>
    <w:rsid w:val="00170B44"/>
    <w:rsid w:val="001777F8"/>
    <w:rsid w:val="001A1B8E"/>
    <w:rsid w:val="001B61D8"/>
    <w:rsid w:val="001C5D85"/>
    <w:rsid w:val="001E2BE5"/>
    <w:rsid w:val="001E4237"/>
    <w:rsid w:val="002066D8"/>
    <w:rsid w:val="00220FD6"/>
    <w:rsid w:val="002260F8"/>
    <w:rsid w:val="00266A59"/>
    <w:rsid w:val="00273DBD"/>
    <w:rsid w:val="002B08C2"/>
    <w:rsid w:val="002B3701"/>
    <w:rsid w:val="002E51FC"/>
    <w:rsid w:val="002F4A07"/>
    <w:rsid w:val="003020E7"/>
    <w:rsid w:val="00362048"/>
    <w:rsid w:val="00363446"/>
    <w:rsid w:val="00363570"/>
    <w:rsid w:val="003D2ED1"/>
    <w:rsid w:val="003F4109"/>
    <w:rsid w:val="003F43C5"/>
    <w:rsid w:val="004054C0"/>
    <w:rsid w:val="0042300A"/>
    <w:rsid w:val="0044084C"/>
    <w:rsid w:val="004458E6"/>
    <w:rsid w:val="00456929"/>
    <w:rsid w:val="0045788C"/>
    <w:rsid w:val="0046266F"/>
    <w:rsid w:val="004E56DA"/>
    <w:rsid w:val="00510B25"/>
    <w:rsid w:val="00530828"/>
    <w:rsid w:val="00535E11"/>
    <w:rsid w:val="00546172"/>
    <w:rsid w:val="005604BB"/>
    <w:rsid w:val="00567F4C"/>
    <w:rsid w:val="005972C2"/>
    <w:rsid w:val="005A6156"/>
    <w:rsid w:val="005C633E"/>
    <w:rsid w:val="005F08CC"/>
    <w:rsid w:val="00607069"/>
    <w:rsid w:val="00617394"/>
    <w:rsid w:val="00635DC3"/>
    <w:rsid w:val="00640FC9"/>
    <w:rsid w:val="0064581C"/>
    <w:rsid w:val="0064613F"/>
    <w:rsid w:val="00664000"/>
    <w:rsid w:val="006762A0"/>
    <w:rsid w:val="00682943"/>
    <w:rsid w:val="00693EAA"/>
    <w:rsid w:val="006A114C"/>
    <w:rsid w:val="006C547B"/>
    <w:rsid w:val="006C77A2"/>
    <w:rsid w:val="006D11E2"/>
    <w:rsid w:val="006E0619"/>
    <w:rsid w:val="006E0C2A"/>
    <w:rsid w:val="006E14BD"/>
    <w:rsid w:val="006E311D"/>
    <w:rsid w:val="00711449"/>
    <w:rsid w:val="007304CA"/>
    <w:rsid w:val="00737DA1"/>
    <w:rsid w:val="00751356"/>
    <w:rsid w:val="00751E82"/>
    <w:rsid w:val="007725B6"/>
    <w:rsid w:val="007845F4"/>
    <w:rsid w:val="007849E3"/>
    <w:rsid w:val="007A4E44"/>
    <w:rsid w:val="007C2F66"/>
    <w:rsid w:val="007C3568"/>
    <w:rsid w:val="007E5635"/>
    <w:rsid w:val="0080739D"/>
    <w:rsid w:val="00830742"/>
    <w:rsid w:val="00833A15"/>
    <w:rsid w:val="008347C1"/>
    <w:rsid w:val="008356EC"/>
    <w:rsid w:val="00843A07"/>
    <w:rsid w:val="008472A3"/>
    <w:rsid w:val="00847866"/>
    <w:rsid w:val="00854841"/>
    <w:rsid w:val="0088284B"/>
    <w:rsid w:val="00884936"/>
    <w:rsid w:val="00890B1F"/>
    <w:rsid w:val="00890E63"/>
    <w:rsid w:val="008B6346"/>
    <w:rsid w:val="008C3552"/>
    <w:rsid w:val="008E0B26"/>
    <w:rsid w:val="00905FB4"/>
    <w:rsid w:val="0091699A"/>
    <w:rsid w:val="00942B29"/>
    <w:rsid w:val="00955ADF"/>
    <w:rsid w:val="00964AE1"/>
    <w:rsid w:val="00971BF9"/>
    <w:rsid w:val="00981A23"/>
    <w:rsid w:val="009A5651"/>
    <w:rsid w:val="009A78A8"/>
    <w:rsid w:val="009C3416"/>
    <w:rsid w:val="009D2F70"/>
    <w:rsid w:val="009D7229"/>
    <w:rsid w:val="009D7E8E"/>
    <w:rsid w:val="009E6091"/>
    <w:rsid w:val="009E6994"/>
    <w:rsid w:val="009F7561"/>
    <w:rsid w:val="00A00113"/>
    <w:rsid w:val="00A00C1D"/>
    <w:rsid w:val="00A01E93"/>
    <w:rsid w:val="00A03646"/>
    <w:rsid w:val="00A141A3"/>
    <w:rsid w:val="00A1680A"/>
    <w:rsid w:val="00A17C6F"/>
    <w:rsid w:val="00A56ED2"/>
    <w:rsid w:val="00A65399"/>
    <w:rsid w:val="00A973B8"/>
    <w:rsid w:val="00AB4C6F"/>
    <w:rsid w:val="00AC7A89"/>
    <w:rsid w:val="00AD11E3"/>
    <w:rsid w:val="00AE6DF5"/>
    <w:rsid w:val="00B3255A"/>
    <w:rsid w:val="00B44448"/>
    <w:rsid w:val="00B70A95"/>
    <w:rsid w:val="00B85275"/>
    <w:rsid w:val="00B92315"/>
    <w:rsid w:val="00BA2B96"/>
    <w:rsid w:val="00C05BF0"/>
    <w:rsid w:val="00C07725"/>
    <w:rsid w:val="00C202C1"/>
    <w:rsid w:val="00C21402"/>
    <w:rsid w:val="00C429F7"/>
    <w:rsid w:val="00C61F70"/>
    <w:rsid w:val="00C92CE7"/>
    <w:rsid w:val="00C94C8F"/>
    <w:rsid w:val="00CB4653"/>
    <w:rsid w:val="00CE1AB7"/>
    <w:rsid w:val="00CE3DF3"/>
    <w:rsid w:val="00CE5A14"/>
    <w:rsid w:val="00D44CBF"/>
    <w:rsid w:val="00D5538C"/>
    <w:rsid w:val="00D564A5"/>
    <w:rsid w:val="00D70483"/>
    <w:rsid w:val="00DB23B1"/>
    <w:rsid w:val="00DB3992"/>
    <w:rsid w:val="00DD15A7"/>
    <w:rsid w:val="00E01AFB"/>
    <w:rsid w:val="00E046CD"/>
    <w:rsid w:val="00E447C8"/>
    <w:rsid w:val="00EC3934"/>
    <w:rsid w:val="00F34AED"/>
    <w:rsid w:val="00F42D66"/>
    <w:rsid w:val="00F72304"/>
    <w:rsid w:val="00F82FAD"/>
    <w:rsid w:val="00F92415"/>
    <w:rsid w:val="00FA3AA7"/>
    <w:rsid w:val="00FA748B"/>
    <w:rsid w:val="00FB5568"/>
    <w:rsid w:val="00FC5BD1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A18D0-7079-4A24-B2A3-80966F57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742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ind w:left="74"/>
    </w:pPr>
    <w:rPr>
      <w:sz w:val="22"/>
      <w:szCs w:val="24"/>
    </w:rPr>
  </w:style>
  <w:style w:type="paragraph" w:styleId="Overskrift1">
    <w:name w:val="heading 1"/>
    <w:basedOn w:val="Normal"/>
    <w:next w:val="Normal"/>
    <w:qFormat/>
    <w:rsid w:val="00830742"/>
    <w:pPr>
      <w:keepNext/>
      <w:spacing w:before="360" w:after="160"/>
      <w:outlineLvl w:val="0"/>
    </w:pPr>
    <w:rPr>
      <w:rFonts w:ascii="Arial" w:hAnsi="Arial"/>
      <w:b/>
      <w:bCs/>
      <w:sz w:val="26"/>
      <w:szCs w:val="32"/>
    </w:rPr>
  </w:style>
  <w:style w:type="paragraph" w:styleId="Overskrift2">
    <w:name w:val="heading 2"/>
    <w:basedOn w:val="Normal"/>
    <w:next w:val="Normal"/>
    <w:qFormat/>
    <w:rsid w:val="00830742"/>
    <w:pPr>
      <w:keepNext/>
      <w:spacing w:before="360" w:after="160"/>
      <w:outlineLvl w:val="1"/>
    </w:pPr>
    <w:rPr>
      <w:rFonts w:ascii="Arial" w:hAnsi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830742"/>
    <w:pPr>
      <w:keepNext/>
      <w:spacing w:before="360" w:after="160"/>
      <w:outlineLvl w:val="2"/>
    </w:pPr>
    <w:rPr>
      <w:rFonts w:ascii="Arial" w:hAnsi="Arial"/>
      <w:bCs/>
      <w:sz w:val="24"/>
      <w:szCs w:val="26"/>
    </w:rPr>
  </w:style>
  <w:style w:type="paragraph" w:styleId="Overskrift4">
    <w:name w:val="heading 4"/>
    <w:basedOn w:val="Normal"/>
    <w:next w:val="Normal"/>
    <w:qFormat/>
    <w:rsid w:val="00830742"/>
    <w:pPr>
      <w:keepNext/>
      <w:spacing w:before="360" w:after="160"/>
      <w:outlineLvl w:val="3"/>
    </w:pPr>
    <w:rPr>
      <w:rFonts w:ascii="Arial" w:hAnsi="Arial"/>
      <w:b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innrykk">
    <w:name w:val="Brødtekst innrykk"/>
    <w:basedOn w:val="Normal"/>
    <w:rsid w:val="00830742"/>
    <w:pPr>
      <w:ind w:left="731"/>
    </w:pPr>
  </w:style>
  <w:style w:type="paragraph" w:customStyle="1" w:styleId="Tabell">
    <w:name w:val="Tabell"/>
    <w:basedOn w:val="Normal"/>
    <w:next w:val="Normal"/>
    <w:rsid w:val="00830742"/>
    <w:pPr>
      <w:tabs>
        <w:tab w:val="clear" w:pos="5256"/>
        <w:tab w:val="clear" w:pos="6555"/>
        <w:tab w:val="clear" w:pos="7847"/>
        <w:tab w:val="clear" w:pos="9146"/>
      </w:tabs>
    </w:pPr>
  </w:style>
  <w:style w:type="paragraph" w:customStyle="1" w:styleId="Nummerert-innrykkflat">
    <w:name w:val="Nummerert - innrykk flat"/>
    <w:basedOn w:val="Normal"/>
    <w:rsid w:val="00830742"/>
    <w:pPr>
      <w:numPr>
        <w:numId w:val="1"/>
      </w:numPr>
    </w:pPr>
  </w:style>
  <w:style w:type="paragraph" w:customStyle="1" w:styleId="Nummerert-venstreflat">
    <w:name w:val="Nummerert - venstre flat"/>
    <w:basedOn w:val="Normal"/>
    <w:rsid w:val="00830742"/>
    <w:pPr>
      <w:numPr>
        <w:numId w:val="2"/>
      </w:numPr>
    </w:pPr>
  </w:style>
  <w:style w:type="paragraph" w:customStyle="1" w:styleId="Overskrift1-Nummerert">
    <w:name w:val="Overskrift 1 - Nummerert"/>
    <w:basedOn w:val="Normal"/>
    <w:next w:val="Normal"/>
    <w:rsid w:val="00830742"/>
    <w:pPr>
      <w:numPr>
        <w:numId w:val="8"/>
      </w:numPr>
      <w:spacing w:before="360" w:after="160"/>
      <w:outlineLvl w:val="0"/>
    </w:pPr>
    <w:rPr>
      <w:rFonts w:ascii="Arial" w:hAnsi="Arial"/>
      <w:b/>
      <w:sz w:val="26"/>
    </w:rPr>
  </w:style>
  <w:style w:type="paragraph" w:customStyle="1" w:styleId="Overskrift2-Nummerert">
    <w:name w:val="Overskrift 2 - Nummerert"/>
    <w:basedOn w:val="Normal"/>
    <w:next w:val="Normal"/>
    <w:rsid w:val="00830742"/>
    <w:pPr>
      <w:numPr>
        <w:ilvl w:val="1"/>
        <w:numId w:val="9"/>
      </w:numPr>
      <w:spacing w:before="360" w:after="160"/>
      <w:outlineLvl w:val="1"/>
    </w:pPr>
    <w:rPr>
      <w:rFonts w:ascii="Arial" w:hAnsi="Arial"/>
      <w:b/>
    </w:rPr>
  </w:style>
  <w:style w:type="paragraph" w:customStyle="1" w:styleId="Overskrift3-Nummerert">
    <w:name w:val="Overskrift 3 - Nummerert"/>
    <w:basedOn w:val="Normal"/>
    <w:next w:val="Normal"/>
    <w:rsid w:val="00830742"/>
    <w:pPr>
      <w:numPr>
        <w:ilvl w:val="2"/>
        <w:numId w:val="10"/>
      </w:numPr>
      <w:spacing w:before="360" w:after="160"/>
      <w:outlineLvl w:val="2"/>
    </w:pPr>
    <w:rPr>
      <w:rFonts w:ascii="Arial" w:hAnsi="Arial"/>
      <w:sz w:val="24"/>
    </w:rPr>
  </w:style>
  <w:style w:type="paragraph" w:customStyle="1" w:styleId="Overskrift4-Nummerert">
    <w:name w:val="Overskrift 4 - Nummerert"/>
    <w:basedOn w:val="Normal"/>
    <w:next w:val="Normal"/>
    <w:rsid w:val="00830742"/>
    <w:pPr>
      <w:numPr>
        <w:ilvl w:val="3"/>
        <w:numId w:val="11"/>
      </w:numPr>
      <w:spacing w:before="360" w:after="160"/>
      <w:outlineLvl w:val="3"/>
    </w:pPr>
    <w:rPr>
      <w:rFonts w:ascii="Arial" w:hAnsi="Arial"/>
    </w:rPr>
  </w:style>
  <w:style w:type="paragraph" w:customStyle="1" w:styleId="Punktmerket-innrykk">
    <w:name w:val="Punktmerket - innrykk"/>
    <w:basedOn w:val="Normal"/>
    <w:rsid w:val="00830742"/>
    <w:pPr>
      <w:numPr>
        <w:numId w:val="7"/>
      </w:numPr>
      <w:tabs>
        <w:tab w:val="clear" w:pos="1366"/>
        <w:tab w:val="clear" w:pos="2665"/>
      </w:tabs>
    </w:pPr>
  </w:style>
  <w:style w:type="paragraph" w:styleId="Listeavsnitt">
    <w:name w:val="List Paragraph"/>
    <w:basedOn w:val="Normal"/>
    <w:uiPriority w:val="34"/>
    <w:qFormat/>
    <w:rsid w:val="006E14B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429F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2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79449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9916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0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9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5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93479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3690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104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3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DSB">
      <a:dk1>
        <a:sysClr val="windowText" lastClr="000000"/>
      </a:dk1>
      <a:lt1>
        <a:sysClr val="window" lastClr="FFFFFF"/>
      </a:lt1>
      <a:dk2>
        <a:srgbClr val="FF5600"/>
      </a:dk2>
      <a:lt2>
        <a:srgbClr val="DBDBDB"/>
      </a:lt2>
      <a:accent1>
        <a:srgbClr val="FF5600"/>
      </a:accent1>
      <a:accent2>
        <a:srgbClr val="4F4F4F"/>
      </a:accent2>
      <a:accent3>
        <a:srgbClr val="91C2AD"/>
      </a:accent3>
      <a:accent4>
        <a:srgbClr val="B55998"/>
      </a:accent4>
      <a:accent5>
        <a:srgbClr val="4A6C81"/>
      </a:accent5>
      <a:accent6>
        <a:srgbClr val="D1697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22FF246E.dotm</Template>
  <TotalTime>1</TotalTime>
  <Pages>2</Pages>
  <Words>274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DSB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Bendixen, Paal</dc:creator>
  <cp:keywords/>
  <dc:description/>
  <cp:lastModifiedBy>Bendixen, Paal</cp:lastModifiedBy>
  <cp:revision>2</cp:revision>
  <dcterms:created xsi:type="dcterms:W3CDTF">2017-09-15T11:01:00Z</dcterms:created>
  <dcterms:modified xsi:type="dcterms:W3CDTF">2017-09-15T11:01:00Z</dcterms:modified>
</cp:coreProperties>
</file>