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E0" w:rsidRPr="00CE0529" w:rsidRDefault="00280F2E" w:rsidP="000D0E28">
      <w:pPr>
        <w:pStyle w:val="Overskrift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0529">
        <w:rPr>
          <w:rFonts w:asciiTheme="minorHAnsi" w:hAnsiTheme="minorHAnsi" w:cstheme="minorHAnsi"/>
          <w:b/>
          <w:color w:val="auto"/>
          <w:sz w:val="24"/>
          <w:szCs w:val="24"/>
        </w:rPr>
        <w:t>Forskrift om endring</w:t>
      </w:r>
      <w:r w:rsidR="00F703DB" w:rsidRPr="00CE0529">
        <w:rPr>
          <w:rFonts w:asciiTheme="minorHAnsi" w:hAnsiTheme="minorHAnsi" w:cstheme="minorHAnsi"/>
          <w:b/>
          <w:color w:val="auto"/>
          <w:sz w:val="24"/>
          <w:szCs w:val="24"/>
        </w:rPr>
        <w:t>er i</w:t>
      </w:r>
      <w:r w:rsidRPr="00CE052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forskrift</w:t>
      </w:r>
      <w:r w:rsidR="00EC7E54" w:rsidRPr="00CE052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om landtransport av farlig gods</w:t>
      </w:r>
    </w:p>
    <w:p w:rsidR="00280F2E" w:rsidRDefault="000D0E28" w:rsidP="001B08E0">
      <w:r>
        <w:br/>
      </w:r>
      <w:r w:rsidR="00EC7E54">
        <w:t xml:space="preserve">Fastsatt av Direktoratet for samfunnssikkerhet og beredskap </w:t>
      </w:r>
      <w:r w:rsidR="00F703DB" w:rsidRPr="00F703DB">
        <w:rPr>
          <w:color w:val="FF0000"/>
        </w:rPr>
        <w:t xml:space="preserve">xx.xxxx.xxxx </w:t>
      </w:r>
      <w:r w:rsidR="00EC7E54">
        <w:t xml:space="preserve">med hjemmel i lov 14.juni 2002 </w:t>
      </w:r>
      <w:proofErr w:type="spellStart"/>
      <w:r w:rsidR="00EC7E54">
        <w:t>nr</w:t>
      </w:r>
      <w:proofErr w:type="spellEnd"/>
      <w:r w:rsidR="00EC7E54">
        <w:t xml:space="preserve"> 20 om vern mot brann, eksplosjon og ulykker med farlig stoff og om brannvesenets redningsoppgaver (brann- og eksplosjonsvernloven</w:t>
      </w:r>
      <w:r w:rsidR="007171FD">
        <w:t>) §§ 5</w:t>
      </w:r>
      <w:r w:rsidR="00A72F18">
        <w:t>, 6</w:t>
      </w:r>
      <w:r w:rsidR="00EC7E54">
        <w:t xml:space="preserve">, 11, 22 og 43 </w:t>
      </w:r>
      <w:r w:rsidR="00252DBB">
        <w:t xml:space="preserve">bokstav d, jf. </w:t>
      </w:r>
      <w:r w:rsidR="00A72F18">
        <w:t xml:space="preserve"> </w:t>
      </w:r>
      <w:r w:rsidR="00252DBB">
        <w:t>d</w:t>
      </w:r>
      <w:r w:rsidR="00EC7E54" w:rsidRPr="0015642B">
        <w:t>elegeringsvedtak 1.</w:t>
      </w:r>
      <w:r w:rsidR="00252DBB">
        <w:t xml:space="preserve"> </w:t>
      </w:r>
      <w:r w:rsidR="00EC7E54" w:rsidRPr="0015642B">
        <w:t xml:space="preserve">september 2003 nr. 1161. </w:t>
      </w:r>
      <w:r w:rsidR="00DE1C95">
        <w:br/>
      </w:r>
    </w:p>
    <w:p w:rsidR="0015642B" w:rsidRDefault="00512C5F" w:rsidP="00D3598C">
      <w:pPr>
        <w:jc w:val="center"/>
      </w:pPr>
      <w:r>
        <w:t>I</w:t>
      </w:r>
    </w:p>
    <w:p w:rsidR="00DE1C95" w:rsidRDefault="00DE1C95" w:rsidP="00D3598C">
      <w:pPr>
        <w:jc w:val="center"/>
      </w:pPr>
    </w:p>
    <w:p w:rsidR="0015642B" w:rsidRPr="00280F2E" w:rsidRDefault="0051395E" w:rsidP="001B08E0">
      <w:r>
        <w:t>I forskrift 1. april 2009 nr. 384 om landtransport av farlig gods gjøres følgende endringer:</w:t>
      </w:r>
    </w:p>
    <w:p w:rsidR="0051395E" w:rsidRPr="00D3598C" w:rsidRDefault="0051395E" w:rsidP="001B08E0">
      <w:pPr>
        <w:rPr>
          <w:b/>
          <w:i/>
        </w:rPr>
      </w:pPr>
      <w:r w:rsidRPr="00D3598C">
        <w:rPr>
          <w:b/>
        </w:rPr>
        <w:t xml:space="preserve">§ 2 tredje ledd bokstav b) skal lyde </w:t>
      </w:r>
    </w:p>
    <w:p w:rsidR="00512C5F" w:rsidRPr="00D3598C" w:rsidRDefault="0082502B" w:rsidP="0082502B">
      <w:pPr>
        <w:rPr>
          <w:i/>
        </w:rPr>
      </w:pPr>
      <w:proofErr w:type="gramStart"/>
      <w:r w:rsidRPr="00F703DB">
        <w:t>transport</w:t>
      </w:r>
      <w:proofErr w:type="gramEnd"/>
      <w:r w:rsidRPr="00F703DB">
        <w:t xml:space="preserve"> av farlig gods</w:t>
      </w:r>
      <w:r w:rsidRPr="00D3598C">
        <w:rPr>
          <w:i/>
        </w:rPr>
        <w:t xml:space="preserve"> som foretas av mobile maskiner og </w:t>
      </w:r>
      <w:r w:rsidRPr="00F703DB">
        <w:t>det farlige godset</w:t>
      </w:r>
      <w:r w:rsidRPr="00D3598C">
        <w:rPr>
          <w:i/>
        </w:rPr>
        <w:t xml:space="preserve"> </w:t>
      </w:r>
      <w:r w:rsidRPr="00F703DB">
        <w:t xml:space="preserve">brukes av den mobile maskinen </w:t>
      </w:r>
      <w:r w:rsidRPr="00D3598C">
        <w:rPr>
          <w:i/>
        </w:rPr>
        <w:t>selv.</w:t>
      </w:r>
    </w:p>
    <w:p w:rsidR="001B08E0" w:rsidRPr="00D3598C" w:rsidRDefault="0051395E" w:rsidP="001B08E0">
      <w:pPr>
        <w:rPr>
          <w:b/>
        </w:rPr>
      </w:pPr>
      <w:r w:rsidRPr="00D3598C">
        <w:rPr>
          <w:b/>
        </w:rPr>
        <w:t xml:space="preserve">§ 3 </w:t>
      </w:r>
      <w:r w:rsidR="007171FD">
        <w:rPr>
          <w:b/>
        </w:rPr>
        <w:t>første ledd</w:t>
      </w:r>
      <w:r w:rsidR="00B30F15" w:rsidRPr="00D3598C">
        <w:rPr>
          <w:b/>
        </w:rPr>
        <w:t xml:space="preserve"> klasse 4.1</w:t>
      </w:r>
      <w:r w:rsidR="007171FD">
        <w:rPr>
          <w:b/>
        </w:rPr>
        <w:t xml:space="preserve"> skal</w:t>
      </w:r>
      <w:r w:rsidR="00B30F15" w:rsidRPr="00D3598C">
        <w:rPr>
          <w:b/>
        </w:rPr>
        <w:t xml:space="preserve"> lyde</w:t>
      </w:r>
      <w:r w:rsidRPr="00D3598C">
        <w:rPr>
          <w:b/>
        </w:rPr>
        <w:t>:</w:t>
      </w:r>
    </w:p>
    <w:p w:rsidR="00512C5F" w:rsidRDefault="001B08E0" w:rsidP="00D3598C">
      <w:pPr>
        <w:pStyle w:val="Overskrift2"/>
      </w:pPr>
      <w:r w:rsidRPr="00D3598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Klasse 4.1 </w:t>
      </w:r>
      <w:r w:rsidR="009C084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Brannfarlige</w:t>
      </w:r>
      <w:r w:rsidRPr="00F703DB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faste stoffer,</w:t>
      </w:r>
      <w:r w:rsidRPr="00D3598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</w:t>
      </w:r>
      <w:r w:rsidRPr="00F703DB">
        <w:rPr>
          <w:rFonts w:asciiTheme="minorHAnsi" w:eastAsiaTheme="minorHAnsi" w:hAnsiTheme="minorHAnsi" w:cstheme="minorBidi"/>
          <w:color w:val="auto"/>
          <w:sz w:val="22"/>
          <w:szCs w:val="22"/>
        </w:rPr>
        <w:t>selvreaktive stoffer,</w:t>
      </w:r>
      <w:r w:rsidRPr="00D3598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polymeriserende stoffer </w:t>
      </w:r>
      <w:r w:rsidRPr="00F703DB">
        <w:rPr>
          <w:rFonts w:asciiTheme="minorHAnsi" w:eastAsiaTheme="minorHAnsi" w:hAnsiTheme="minorHAnsi" w:cstheme="minorBidi"/>
          <w:color w:val="auto"/>
          <w:sz w:val="22"/>
          <w:szCs w:val="22"/>
        </w:rPr>
        <w:t>og faste eksplosivstoffer som er gjort ufølsomme</w:t>
      </w:r>
    </w:p>
    <w:p w:rsidR="001B08E0" w:rsidRDefault="001B08E0" w:rsidP="00D3598C">
      <w:pPr>
        <w:pStyle w:val="Overskrift2"/>
      </w:pPr>
    </w:p>
    <w:p w:rsidR="001B08E0" w:rsidRPr="00D3598C" w:rsidRDefault="00B30F15" w:rsidP="001B08E0">
      <w:pPr>
        <w:rPr>
          <w:b/>
          <w:i/>
        </w:rPr>
      </w:pPr>
      <w:r w:rsidRPr="00D3598C">
        <w:rPr>
          <w:b/>
        </w:rPr>
        <w:t>§ 7 andre ledd skal lyde</w:t>
      </w:r>
      <w:r w:rsidRPr="00086D3B">
        <w:rPr>
          <w:b/>
        </w:rPr>
        <w:t>:</w:t>
      </w:r>
    </w:p>
    <w:p w:rsidR="001B08E0" w:rsidRPr="00D3598C" w:rsidRDefault="001B08E0" w:rsidP="001B08E0">
      <w:pPr>
        <w:pStyle w:val="Overskrift2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D3598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Dersom det likevel er påkrevet med opphold under transporten, skal oppholdet foregå på et egnet sted vurdert ut ifra hensynet til både sikkerhet og sikring. </w:t>
      </w:r>
    </w:p>
    <w:p w:rsidR="001B08E0" w:rsidRDefault="001B08E0" w:rsidP="001B08E0">
      <w:pPr>
        <w:rPr>
          <w:b/>
        </w:rPr>
      </w:pPr>
    </w:p>
    <w:p w:rsidR="00EE6861" w:rsidRDefault="001B08E0" w:rsidP="00D3598C">
      <w:pPr>
        <w:rPr>
          <w:b/>
        </w:rPr>
      </w:pPr>
      <w:r w:rsidRPr="00086D3B">
        <w:rPr>
          <w:b/>
        </w:rPr>
        <w:t xml:space="preserve">§ 10 </w:t>
      </w:r>
      <w:r w:rsidR="00B30F15" w:rsidRPr="00086D3B">
        <w:rPr>
          <w:b/>
        </w:rPr>
        <w:t>andre ledd bokstav a) skal lyde</w:t>
      </w:r>
      <w:r w:rsidR="00B30F15" w:rsidRPr="00D3598C">
        <w:rPr>
          <w:b/>
        </w:rPr>
        <w:t>:</w:t>
      </w:r>
    </w:p>
    <w:p w:rsidR="001B08E0" w:rsidRPr="00DE1C95" w:rsidRDefault="001B08E0" w:rsidP="001B08E0">
      <w:pPr>
        <w:pStyle w:val="Overskrift2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DE1C95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transport av farlig gods </w:t>
      </w:r>
      <w:r w:rsidR="00DE1C95" w:rsidRPr="00DE1C95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som</w:t>
      </w:r>
      <w:r w:rsidR="007171FD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ikke krever merking med oransje skilt etter ADR/RID 5.3.2</w:t>
      </w:r>
      <w:r w:rsidRPr="00DE1C95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.</w:t>
      </w:r>
    </w:p>
    <w:p w:rsidR="00512C5F" w:rsidRDefault="00512C5F" w:rsidP="00EC7E54">
      <w:pPr>
        <w:pStyle w:val="Ingenmellomrom"/>
        <w:rPr>
          <w:rStyle w:val="Sterk"/>
          <w:sz w:val="28"/>
        </w:rPr>
      </w:pPr>
    </w:p>
    <w:p w:rsidR="001B08E0" w:rsidRPr="00086D3B" w:rsidRDefault="001B08E0" w:rsidP="001B08E0">
      <w:pPr>
        <w:rPr>
          <w:b/>
        </w:rPr>
      </w:pPr>
      <w:r w:rsidRPr="00086D3B">
        <w:rPr>
          <w:b/>
        </w:rPr>
        <w:t xml:space="preserve">§ 17 </w:t>
      </w:r>
      <w:r w:rsidR="00512C5F" w:rsidRPr="00086D3B">
        <w:rPr>
          <w:b/>
        </w:rPr>
        <w:t>skal lyde:</w:t>
      </w:r>
    </w:p>
    <w:p w:rsidR="00CE0529" w:rsidRPr="00CE0529" w:rsidRDefault="00CE0529" w:rsidP="00EC7E54">
      <w:r w:rsidRPr="00CE0529">
        <w:t>§ 17</w:t>
      </w:r>
      <w:r>
        <w:t xml:space="preserve"> Transport av farlig gods på buss</w:t>
      </w:r>
    </w:p>
    <w:p w:rsidR="00086D3B" w:rsidRPr="00ED4BBF" w:rsidRDefault="001B08E0" w:rsidP="00EC7E54">
      <w:pPr>
        <w:rPr>
          <w:b/>
          <w:i/>
        </w:rPr>
      </w:pPr>
      <w:r w:rsidRPr="00D3598C">
        <w:rPr>
          <w:i/>
        </w:rPr>
        <w:t>Passasjerer på buss kan kun ta med farlig gods som er til eget personlig bruk og emb</w:t>
      </w:r>
      <w:r w:rsidR="007171FD">
        <w:rPr>
          <w:i/>
        </w:rPr>
        <w:t xml:space="preserve">allert i originalemballasje, </w:t>
      </w:r>
      <w:r w:rsidRPr="00D3598C">
        <w:rPr>
          <w:i/>
        </w:rPr>
        <w:t xml:space="preserve">dersom busselskapet tillater det. Dette inkluderer publikumstilgjengelig fyrverkeri og </w:t>
      </w:r>
      <w:r w:rsidR="007171FD">
        <w:rPr>
          <w:i/>
        </w:rPr>
        <w:t>ammunisjon til hån</w:t>
      </w:r>
      <w:r w:rsidRPr="00D3598C">
        <w:rPr>
          <w:i/>
        </w:rPr>
        <w:t>dvåpen</w:t>
      </w:r>
      <w:r w:rsidR="007171FD">
        <w:rPr>
          <w:i/>
        </w:rPr>
        <w:t xml:space="preserve">. </w:t>
      </w:r>
      <w:r w:rsidRPr="00D3598C">
        <w:rPr>
          <w:i/>
        </w:rPr>
        <w:t xml:space="preserve">Andre eksplosive stoffer og gjenstander er </w:t>
      </w:r>
      <w:r w:rsidR="007171FD">
        <w:rPr>
          <w:i/>
        </w:rPr>
        <w:t xml:space="preserve">det </w:t>
      </w:r>
      <w:r w:rsidRPr="00D3598C">
        <w:rPr>
          <w:i/>
        </w:rPr>
        <w:t xml:space="preserve">ikke tillatt </w:t>
      </w:r>
      <w:r w:rsidR="007171FD">
        <w:rPr>
          <w:i/>
        </w:rPr>
        <w:t xml:space="preserve">å </w:t>
      </w:r>
      <w:r w:rsidRPr="00D3598C">
        <w:rPr>
          <w:i/>
        </w:rPr>
        <w:t>transporter</w:t>
      </w:r>
      <w:r w:rsidR="007171FD">
        <w:rPr>
          <w:i/>
        </w:rPr>
        <w:t>e</w:t>
      </w:r>
      <w:r w:rsidRPr="00D3598C">
        <w:rPr>
          <w:i/>
        </w:rPr>
        <w:t xml:space="preserve"> på buss med passasjerer. </w:t>
      </w:r>
      <w:r w:rsidR="00ED4BBF">
        <w:rPr>
          <w:b/>
          <w:i/>
        </w:rPr>
        <w:br/>
      </w:r>
    </w:p>
    <w:p w:rsidR="00512C5F" w:rsidRPr="00086D3B" w:rsidRDefault="007171FD" w:rsidP="00EC7E54">
      <w:pPr>
        <w:rPr>
          <w:rFonts w:eastAsia="Times New Roman" w:cs="Times New Roman"/>
          <w:b/>
        </w:rPr>
      </w:pPr>
      <w:r>
        <w:rPr>
          <w:b/>
        </w:rPr>
        <w:t>I kapittel 3 skal ny</w:t>
      </w:r>
      <w:r w:rsidR="00512C5F" w:rsidRPr="00086D3B">
        <w:rPr>
          <w:b/>
        </w:rPr>
        <w:t xml:space="preserve"> </w:t>
      </w:r>
      <w:r w:rsidR="00512C5F" w:rsidRPr="00D3598C">
        <w:rPr>
          <w:b/>
        </w:rPr>
        <w:t xml:space="preserve">§ </w:t>
      </w:r>
      <w:r>
        <w:rPr>
          <w:b/>
        </w:rPr>
        <w:t>18 a</w:t>
      </w:r>
      <w:r w:rsidR="00512C5F" w:rsidRPr="00086D3B">
        <w:rPr>
          <w:rFonts w:eastAsia="Times New Roman" w:cs="Times New Roman"/>
          <w:b/>
        </w:rPr>
        <w:t xml:space="preserve"> lyde</w:t>
      </w:r>
      <w:r w:rsidR="00512C5F" w:rsidRPr="00D3598C">
        <w:rPr>
          <w:rFonts w:eastAsia="Times New Roman" w:cs="Times New Roman"/>
          <w:b/>
        </w:rPr>
        <w:t>:</w:t>
      </w:r>
    </w:p>
    <w:p w:rsidR="00ED4BBF" w:rsidRPr="00ED4BBF" w:rsidRDefault="00ED4BBF" w:rsidP="00EC7E54">
      <w:pPr>
        <w:rPr>
          <w:rFonts w:eastAsia="Times New Roman" w:cs="Times New Roman"/>
          <w:i/>
        </w:rPr>
      </w:pPr>
      <w:r w:rsidRPr="00ED4BBF">
        <w:rPr>
          <w:rFonts w:eastAsia="Times New Roman" w:cs="Times New Roman"/>
          <w:i/>
        </w:rPr>
        <w:t xml:space="preserve">§ 18 a Bruk av ekstra store kjøretøykombinasjoner </w:t>
      </w:r>
    </w:p>
    <w:p w:rsidR="00EC7E54" w:rsidRPr="00D3598C" w:rsidRDefault="00EC7E54" w:rsidP="00EC7E54">
      <w:pPr>
        <w:rPr>
          <w:i/>
        </w:rPr>
      </w:pPr>
      <w:r w:rsidRPr="00D3598C">
        <w:rPr>
          <w:i/>
        </w:rPr>
        <w:t>Kjøretøy som transporterer farlig gods og som skal ha særskilt godkjenning etter ADR del 9, som FL, AT, EX/II eller EX/III -kjøretøyer, skal ikke inngå i modulvogntog eller andre vogntog som overstiger de vekter og dimensjoner som er angitt av forskrift 25. januar 1990 nr. 92 om bruk av kjøretøy § 5-4.</w:t>
      </w:r>
    </w:p>
    <w:p w:rsidR="00512C5F" w:rsidRDefault="00512C5F" w:rsidP="00EC7E54">
      <w:pPr>
        <w:rPr>
          <w:b/>
        </w:rPr>
      </w:pPr>
    </w:p>
    <w:p w:rsidR="00ED4BBF" w:rsidRDefault="007171FD" w:rsidP="00EC7E54">
      <w:pPr>
        <w:rPr>
          <w:rFonts w:eastAsia="Times New Roman" w:cs="Times New Roman"/>
          <w:b/>
          <w:i/>
        </w:rPr>
      </w:pPr>
      <w:r>
        <w:rPr>
          <w:b/>
        </w:rPr>
        <w:lastRenderedPageBreak/>
        <w:t>I kapittel 3 skal n</w:t>
      </w:r>
      <w:r w:rsidR="00512C5F" w:rsidRPr="00086D3B">
        <w:rPr>
          <w:b/>
        </w:rPr>
        <w:t xml:space="preserve">y </w:t>
      </w:r>
      <w:r w:rsidR="00EC7E54" w:rsidRPr="00086D3B">
        <w:rPr>
          <w:b/>
        </w:rPr>
        <w:t>§</w:t>
      </w:r>
      <w:r w:rsidR="009C084B">
        <w:rPr>
          <w:b/>
        </w:rPr>
        <w:t xml:space="preserve"> 18</w:t>
      </w:r>
      <w:r w:rsidR="00512C5F" w:rsidRPr="00086D3B">
        <w:rPr>
          <w:b/>
        </w:rPr>
        <w:t xml:space="preserve"> </w:t>
      </w:r>
      <w:r w:rsidR="009C084B" w:rsidRPr="007171FD">
        <w:rPr>
          <w:b/>
        </w:rPr>
        <w:t>b</w:t>
      </w:r>
      <w:r w:rsidR="00EC7E54" w:rsidRPr="007171FD">
        <w:rPr>
          <w:b/>
        </w:rPr>
        <w:t xml:space="preserve"> </w:t>
      </w:r>
      <w:r w:rsidR="00512C5F" w:rsidRPr="007171FD">
        <w:rPr>
          <w:rFonts w:eastAsia="Times New Roman" w:cs="Times New Roman"/>
          <w:b/>
        </w:rPr>
        <w:t>lyde:</w:t>
      </w:r>
      <w:r w:rsidR="00ED4BBF" w:rsidRPr="00ED4BBF">
        <w:rPr>
          <w:rFonts w:eastAsia="Times New Roman" w:cs="Times New Roman"/>
          <w:b/>
          <w:i/>
        </w:rPr>
        <w:t xml:space="preserve"> </w:t>
      </w:r>
    </w:p>
    <w:p w:rsidR="00EC7E54" w:rsidRPr="00896D57" w:rsidRDefault="009C084B" w:rsidP="00EC7E54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§ 18</w:t>
      </w:r>
      <w:r w:rsidR="00896D57" w:rsidRPr="00896D57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>b</w:t>
      </w:r>
      <w:r w:rsidR="00896D57" w:rsidRPr="00896D57">
        <w:rPr>
          <w:rFonts w:eastAsia="Times New Roman" w:cs="Times New Roman"/>
          <w:i/>
        </w:rPr>
        <w:t xml:space="preserve"> </w:t>
      </w:r>
      <w:r w:rsidR="00ED4BBF" w:rsidRPr="00896D57">
        <w:rPr>
          <w:rFonts w:eastAsia="Times New Roman" w:cs="Times New Roman"/>
          <w:i/>
        </w:rPr>
        <w:t>Tanktransport av UN 3375, mellomprodukt for sprengstoff</w:t>
      </w:r>
    </w:p>
    <w:p w:rsidR="00EC7E54" w:rsidRPr="00D3598C" w:rsidRDefault="00EC7E54" w:rsidP="00D3598C">
      <w:pPr>
        <w:ind w:firstLine="708"/>
        <w:rPr>
          <w:i/>
        </w:rPr>
      </w:pPr>
      <w:r w:rsidRPr="00D3598C">
        <w:rPr>
          <w:i/>
        </w:rPr>
        <w:t xml:space="preserve">Produkter klassifisert og godkjent som UN 3375 AMMONIUMNITRAT EMULSJON, LØSNING eller GEL, flytende eller fast stoff, og som har bestått testene a, b og c i testserie 8 i UN Testmanualen, del I seksjon 18, kan transporteres uten at egnetheten for transport i tank er ytterligere bevist ved prøving, dersom transporten skjer i tank </w:t>
      </w:r>
      <w:r w:rsidR="007171FD">
        <w:rPr>
          <w:i/>
        </w:rPr>
        <w:t xml:space="preserve">som er </w:t>
      </w:r>
      <w:bookmarkStart w:id="0" w:name="_GoBack"/>
      <w:bookmarkEnd w:id="0"/>
      <w:r w:rsidRPr="00D3598C">
        <w:rPr>
          <w:i/>
        </w:rPr>
        <w:t xml:space="preserve">tilvirket av aluminium. Når </w:t>
      </w:r>
      <w:r w:rsidR="007171FD">
        <w:rPr>
          <w:i/>
        </w:rPr>
        <w:t>det benyttes</w:t>
      </w:r>
      <w:r w:rsidRPr="00D3598C">
        <w:rPr>
          <w:i/>
        </w:rPr>
        <w:t xml:space="preserve"> aluminium</w:t>
      </w:r>
      <w:r w:rsidR="007171FD">
        <w:rPr>
          <w:i/>
        </w:rPr>
        <w:t>stank</w:t>
      </w:r>
      <w:r w:rsidRPr="00D3598C">
        <w:rPr>
          <w:i/>
        </w:rPr>
        <w:t xml:space="preserve"> for UN 3375 på mobile tilvirkningsenheter for eksplosiver (MEMU), kreves </w:t>
      </w:r>
      <w:r w:rsidR="007171FD">
        <w:rPr>
          <w:i/>
        </w:rPr>
        <w:t xml:space="preserve">det </w:t>
      </w:r>
      <w:r w:rsidRPr="00D3598C">
        <w:rPr>
          <w:i/>
        </w:rPr>
        <w:t>ikke sprengblekk eller andre særskilte trykkavlastningsordninger på tanken.</w:t>
      </w:r>
    </w:p>
    <w:p w:rsidR="00EC7E54" w:rsidRPr="00D3598C" w:rsidRDefault="00EC7E54" w:rsidP="00D3598C">
      <w:pPr>
        <w:ind w:firstLine="708"/>
        <w:rPr>
          <w:i/>
        </w:rPr>
      </w:pPr>
      <w:r w:rsidRPr="00D3598C">
        <w:rPr>
          <w:i/>
        </w:rPr>
        <w:t>Denne bestemmelsen gjelder ikke for transport i multimodale tanker.</w:t>
      </w:r>
    </w:p>
    <w:p w:rsidR="007322CA" w:rsidRDefault="007322CA" w:rsidP="001B08E0"/>
    <w:p w:rsidR="001B08E0" w:rsidRPr="00D01C5D" w:rsidRDefault="001B08E0" w:rsidP="001B08E0">
      <w:pPr>
        <w:rPr>
          <w:b/>
        </w:rPr>
      </w:pPr>
      <w:r w:rsidRPr="00D01C5D">
        <w:rPr>
          <w:b/>
        </w:rPr>
        <w:t xml:space="preserve">§ 34 </w:t>
      </w:r>
      <w:r w:rsidR="00086D3B">
        <w:rPr>
          <w:b/>
        </w:rPr>
        <w:t>første ledd skal lyde</w:t>
      </w:r>
    </w:p>
    <w:p w:rsidR="00086D3B" w:rsidRDefault="001B08E0" w:rsidP="001B08E0">
      <w:pPr>
        <w:rPr>
          <w:i/>
        </w:rPr>
      </w:pPr>
      <w:r w:rsidRPr="00896D57">
        <w:t>Vedtak fattet av DSB kan påklages til Justis – og</w:t>
      </w:r>
      <w:r w:rsidRPr="00D3598C">
        <w:rPr>
          <w:i/>
        </w:rPr>
        <w:t xml:space="preserve"> beredskapsdepartementet.</w:t>
      </w:r>
    </w:p>
    <w:p w:rsidR="00086D3B" w:rsidRDefault="00086D3B" w:rsidP="001B08E0"/>
    <w:p w:rsidR="00086D3B" w:rsidRDefault="00086D3B" w:rsidP="00D3598C">
      <w:pPr>
        <w:jc w:val="center"/>
      </w:pPr>
      <w:r>
        <w:t>II</w:t>
      </w:r>
    </w:p>
    <w:p w:rsidR="0097297F" w:rsidRDefault="000D0E28">
      <w:r>
        <w:br/>
      </w:r>
      <w:r w:rsidR="0089681B">
        <w:t xml:space="preserve">Endringene trer i kraft </w:t>
      </w:r>
      <w:r w:rsidR="00086D3B">
        <w:t>1. januar</w:t>
      </w:r>
      <w:r w:rsidR="0089681B">
        <w:t xml:space="preserve"> 2019.</w:t>
      </w:r>
    </w:p>
    <w:sectPr w:rsidR="0097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E0"/>
    <w:rsid w:val="00086D3B"/>
    <w:rsid w:val="000D0E28"/>
    <w:rsid w:val="0015642B"/>
    <w:rsid w:val="001B08E0"/>
    <w:rsid w:val="00252DBB"/>
    <w:rsid w:val="00280F2E"/>
    <w:rsid w:val="004F400E"/>
    <w:rsid w:val="00512C5F"/>
    <w:rsid w:val="0051395E"/>
    <w:rsid w:val="00546097"/>
    <w:rsid w:val="00646B65"/>
    <w:rsid w:val="007171FD"/>
    <w:rsid w:val="007322CA"/>
    <w:rsid w:val="0082502B"/>
    <w:rsid w:val="00882AA5"/>
    <w:rsid w:val="0089681B"/>
    <w:rsid w:val="00896D57"/>
    <w:rsid w:val="00960959"/>
    <w:rsid w:val="0097297F"/>
    <w:rsid w:val="009831C7"/>
    <w:rsid w:val="009C084B"/>
    <w:rsid w:val="00A72F18"/>
    <w:rsid w:val="00AD4F06"/>
    <w:rsid w:val="00B30F15"/>
    <w:rsid w:val="00C852C6"/>
    <w:rsid w:val="00C97EFC"/>
    <w:rsid w:val="00CE0529"/>
    <w:rsid w:val="00D07E5F"/>
    <w:rsid w:val="00D3598C"/>
    <w:rsid w:val="00DE1C95"/>
    <w:rsid w:val="00EC7E54"/>
    <w:rsid w:val="00ED4BBF"/>
    <w:rsid w:val="00EE6861"/>
    <w:rsid w:val="00F703DB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01445-31D0-4221-8398-DC0AAEF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E0"/>
  </w:style>
  <w:style w:type="paragraph" w:styleId="Overskrift1">
    <w:name w:val="heading 1"/>
    <w:basedOn w:val="Normal"/>
    <w:next w:val="Normal"/>
    <w:link w:val="Overskrift1Tegn"/>
    <w:uiPriority w:val="9"/>
    <w:qFormat/>
    <w:rsid w:val="000D0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0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1B08E0"/>
    <w:rPr>
      <w:b/>
      <w:bCs/>
    </w:rPr>
  </w:style>
  <w:style w:type="paragraph" w:styleId="Ingenmellomrom">
    <w:name w:val="No Spacing"/>
    <w:uiPriority w:val="1"/>
    <w:qFormat/>
    <w:rsid w:val="00EC7E54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EC7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EC7E54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EC7E5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7E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7E54"/>
    <w:rPr>
      <w:rFonts w:eastAsiaTheme="minorEastAsia"/>
      <w:color w:val="5A5A5A" w:themeColor="text1" w:themeTint="A5"/>
      <w:spacing w:val="15"/>
    </w:rPr>
  </w:style>
  <w:style w:type="character" w:styleId="Sterkutheving">
    <w:name w:val="Intense Emphasis"/>
    <w:basedOn w:val="Standardskriftforavsnitt"/>
    <w:uiPriority w:val="21"/>
    <w:qFormat/>
    <w:rsid w:val="00EC7E54"/>
    <w:rPr>
      <w:i/>
      <w:iCs/>
      <w:color w:val="5B9BD5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E68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E68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E68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68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68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6861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E6861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D0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B19CBC31.dotm</Template>
  <TotalTime>6</TotalTime>
  <Pages>2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Blakstad, Guro</dc:creator>
  <cp:keywords/>
  <dc:description/>
  <cp:lastModifiedBy>Paulsrud, Nina Korneliussen</cp:lastModifiedBy>
  <cp:revision>3</cp:revision>
  <dcterms:created xsi:type="dcterms:W3CDTF">2018-07-11T07:50:00Z</dcterms:created>
  <dcterms:modified xsi:type="dcterms:W3CDTF">2018-07-11T07:56:00Z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http://arkiv.dsb.no/ephorte/shared/aspx/Default/CheckInDocForm.aspx</vt:lpwstr>
  </property>
  <property fmtid="{D5CDD505-2E9C-101B-9397-08002B2CF9AE}" pid="4" name="DokType">
    <vt:lpwstr/>
  </property>
  <property fmtid="{D5CDD505-2E9C-101B-9397-08002B2CF9AE}" pid="5" name="DokID">
    <vt:i4>942730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http%3a%2f%2farkiv.dsb.no%2fephorte%2fshared%2faspx%2fdefault%2fdetails.aspx%3ff%3dViewJP%26JP_ID%3d475441%26SubElGroup%3d55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%5c%5chkuser.dsb.no%5cusers%24%5cpani%5cephorte%5c1211860.DOCX</vt:lpwstr>
  </property>
  <property fmtid="{D5CDD505-2E9C-101B-9397-08002B2CF9AE}" pid="12" name="LinkId">
    <vt:i4>475441</vt:i4>
  </property>
</Properties>
</file>